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Verdana" w:cs="Verdana" w:eastAsia="Verdana" w:hAnsi="Verdana"/>
          <w:sz w:val="28"/>
          <w:szCs w:val="28"/>
          <w:rtl w:val="0"/>
        </w:rPr>
        <w:t xml:space="preserve">Students: Please set up the following chart in your notebook. This may require several pages as we read/watch/evaluate the play/film. Your notes will help you write the essay at the end of the play, so the more copious (thorough and detailed) your notes are, the more you should have success with a well-written essay. </w:t>
      </w:r>
      <w:r w:rsidDel="00000000" w:rsidR="00000000" w:rsidRPr="00000000">
        <w:rPr>
          <w:rFonts w:ascii="Verdana" w:cs="Verdana" w:eastAsia="Verdana" w:hAnsi="Verdana"/>
          <w:b w:val="1"/>
          <w:sz w:val="28"/>
          <w:szCs w:val="28"/>
          <w:u w:val="single"/>
          <w:rtl w:val="0"/>
        </w:rPr>
        <w:t xml:space="preserve">Focus: You are tracking your character’s actions and motivations that reveal his/her character. You should have a minimum of 10 specific examples throughout the play.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8"/>
          <w:szCs w:val="28"/>
          <w:rtl w:val="0"/>
        </w:rPr>
        <w:t xml:space="preserve">Your character’s name: ____________</w:t>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8"/>
          <w:szCs w:val="28"/>
          <w:rtl w:val="0"/>
        </w:rPr>
        <w:t xml:space="preserve">Household of the : ________________</w:t>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8"/>
          <w:szCs w:val="28"/>
          <w:rtl w:val="0"/>
        </w:rPr>
        <w:t xml:space="preserve">___________________________________________</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8"/>
          <w:szCs w:val="28"/>
          <w:rtl w:val="0"/>
        </w:rPr>
        <w:t xml:space="preserve">Act and Scene: </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8"/>
          <w:szCs w:val="28"/>
          <w:rtl w:val="0"/>
        </w:rPr>
        <w:t xml:space="preserve">Quote and Situation: </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8"/>
          <w:szCs w:val="28"/>
          <w:rtl w:val="0"/>
        </w:rPr>
        <w:t xml:space="preserve">Characters involved: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8"/>
          <w:szCs w:val="28"/>
          <w:rtl w:val="0"/>
        </w:rPr>
        <w:t xml:space="preserve">Evaluation(How is his/her character revealed in this scene?)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